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677978">
        <w:rPr>
          <w:rFonts w:asciiTheme="minorHAnsi" w:hAnsiTheme="minorHAnsi"/>
          <w:b/>
          <w:color w:val="000000" w:themeColor="text1"/>
          <w:sz w:val="24"/>
          <w:szCs w:val="24"/>
        </w:rPr>
        <w:t xml:space="preserve">– </w:t>
      </w:r>
      <w:bookmarkStart w:id="0" w:name="_GoBack"/>
      <w:bookmarkEnd w:id="0"/>
      <w:r w:rsidR="00C675C7" w:rsidRPr="00ED6EF4">
        <w:rPr>
          <w:rFonts w:asciiTheme="minorHAnsi" w:hAnsiTheme="minorHAnsi"/>
          <w:b/>
          <w:color w:val="000000" w:themeColor="text1"/>
          <w:sz w:val="24"/>
          <w:szCs w:val="24"/>
          <w:highlight w:val="yellow"/>
        </w:rPr>
        <w:t>AME</w:t>
      </w:r>
      <w:r w:rsidR="00ED6EF4" w:rsidRPr="00ED6EF4">
        <w:rPr>
          <w:rFonts w:asciiTheme="minorHAnsi" w:hAnsiTheme="minorHAnsi"/>
          <w:b/>
          <w:color w:val="000000" w:themeColor="text1"/>
          <w:sz w:val="24"/>
          <w:szCs w:val="24"/>
          <w:highlight w:val="yellow"/>
        </w:rPr>
        <w:t>N</w:t>
      </w:r>
      <w:r w:rsidR="00C675C7" w:rsidRPr="00ED6EF4">
        <w:rPr>
          <w:rFonts w:asciiTheme="minorHAnsi" w:hAnsiTheme="minorHAnsi"/>
          <w:b/>
          <w:color w:val="000000" w:themeColor="text1"/>
          <w:sz w:val="24"/>
          <w:szCs w:val="24"/>
          <w:highlight w:val="yellow"/>
        </w:rPr>
        <w:t>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677978">
        <w:rPr>
          <w:rFonts w:asciiTheme="minorHAnsi" w:hAnsiTheme="minorHAnsi" w:cs="Arial"/>
          <w:b/>
          <w:lang w:val="en-ZA"/>
        </w:rPr>
        <w:t>22</w:t>
      </w:r>
      <w:r>
        <w:rPr>
          <w:rFonts w:asciiTheme="minorHAnsi" w:hAnsiTheme="minorHAnsi" w:cs="Arial"/>
          <w:b/>
          <w:lang w:val="en-ZA"/>
        </w:rPr>
        <w:t xml:space="preserve"> July 2019</w:t>
      </w:r>
    </w:p>
    <w:p w:rsidR="00AB4A51" w:rsidRDefault="00AB4A51" w:rsidP="007F4679">
      <w:pPr>
        <w:spacing w:line="312" w:lineRule="auto"/>
        <w:jc w:val="both"/>
        <w:rPr>
          <w:rFonts w:asciiTheme="minorHAnsi" w:hAnsiTheme="minorHAnsi" w:cs="Arial"/>
          <w:b/>
          <w:lang w:val="en-ZA"/>
        </w:rPr>
      </w:pPr>
    </w:p>
    <w:p w:rsidR="00AB4A51" w:rsidRPr="005A083D" w:rsidRDefault="00AB4A51" w:rsidP="00AB4A51">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AB4A51" w:rsidRDefault="00AB4A51" w:rsidP="007F4679">
      <w:pPr>
        <w:spacing w:line="312" w:lineRule="auto"/>
        <w:jc w:val="both"/>
        <w:rPr>
          <w:rFonts w:asciiTheme="minorHAnsi" w:hAnsiTheme="minorHAnsi" w:cs="Arial"/>
          <w:b/>
          <w:lang w:val="en-ZA"/>
        </w:rPr>
      </w:pPr>
    </w:p>
    <w:p w:rsidR="004D5A76" w:rsidRPr="00F64748" w:rsidRDefault="004D5A76" w:rsidP="007F4679">
      <w:pPr>
        <w:spacing w:line="312" w:lineRule="auto"/>
        <w:jc w:val="both"/>
        <w:rPr>
          <w:rFonts w:asciiTheme="minorHAnsi" w:hAnsiTheme="minorHAnsi" w:cs="Arial"/>
          <w:b/>
          <w:lang w:val="en-ZA"/>
        </w:rPr>
      </w:pPr>
    </w:p>
    <w:p w:rsidR="00AB4A51" w:rsidRPr="00F64748" w:rsidRDefault="00AB4A51" w:rsidP="00AB4A51">
      <w:pPr>
        <w:spacing w:line="312" w:lineRule="auto"/>
        <w:jc w:val="both"/>
        <w:rPr>
          <w:rFonts w:asciiTheme="minorHAnsi" w:hAnsiTheme="minorHAnsi" w:cs="Arial"/>
          <w:b/>
          <w:lang w:val="en-ZA"/>
        </w:rPr>
      </w:pPr>
      <w:r>
        <w:rPr>
          <w:rFonts w:asciiTheme="minorHAnsi" w:hAnsiTheme="minorHAnsi" w:cs="Arial"/>
          <w:b/>
          <w:lang w:val="en-ZA"/>
        </w:rPr>
        <w:t>In terms of paragraph 3</w:t>
      </w:r>
      <w:r w:rsidR="00ED6EF4">
        <w:rPr>
          <w:rFonts w:asciiTheme="minorHAnsi" w:hAnsiTheme="minorHAnsi" w:cs="Arial"/>
          <w:b/>
          <w:lang w:val="en-ZA"/>
        </w:rPr>
        <w:t>8</w:t>
      </w:r>
      <w:r>
        <w:rPr>
          <w:rFonts w:asciiTheme="minorHAnsi" w:hAnsiTheme="minorHAnsi" w:cs="Arial"/>
          <w:b/>
          <w:lang w:val="en-ZA"/>
        </w:rPr>
        <w:t xml:space="preserve"> read with the paragraph 3</w:t>
      </w:r>
      <w:r w:rsidR="00ED6EF4">
        <w:rPr>
          <w:rFonts w:asciiTheme="minorHAnsi" w:hAnsiTheme="minorHAnsi" w:cs="Arial"/>
          <w:b/>
          <w:lang w:val="en-ZA"/>
        </w:rPr>
        <w:t>1</w:t>
      </w:r>
      <w:r>
        <w:rPr>
          <w:rFonts w:asciiTheme="minorHAnsi" w:hAnsiTheme="minorHAnsi" w:cs="Arial"/>
          <w:b/>
          <w:lang w:val="en-ZA"/>
        </w:rPr>
        <w:t xml:space="preserve"> of the Applicable Pricing Supplement, a Credit Event has accoutred in respect of The Land and Agricultural Development Bank. Under the terms of the notes, the amount of the Notes equal to the Reference Entity Nominal Amount will be redeemed and delisted. Therefore, ASN</w:t>
      </w:r>
      <w:r w:rsidR="00ED6EF4">
        <w:rPr>
          <w:rFonts w:asciiTheme="minorHAnsi" w:hAnsiTheme="minorHAnsi" w:cs="Arial"/>
          <w:b/>
          <w:lang w:val="en-ZA"/>
        </w:rPr>
        <w:t>354</w:t>
      </w:r>
      <w:r>
        <w:rPr>
          <w:rFonts w:asciiTheme="minorHAnsi" w:hAnsiTheme="minorHAnsi" w:cs="Arial"/>
          <w:b/>
          <w:lang w:val="en-ZA"/>
        </w:rPr>
        <w:t xml:space="preserve"> will partially redeem R</w:t>
      </w:r>
      <w:r w:rsidR="00ED6EF4">
        <w:rPr>
          <w:rFonts w:asciiTheme="minorHAnsi" w:hAnsiTheme="minorHAnsi" w:cs="Arial"/>
          <w:b/>
          <w:lang w:val="en-ZA"/>
        </w:rPr>
        <w:t xml:space="preserve"> 3</w:t>
      </w:r>
      <w:r>
        <w:rPr>
          <w:rFonts w:asciiTheme="minorHAnsi" w:hAnsiTheme="minorHAnsi" w:cs="Arial"/>
          <w:b/>
          <w:lang w:val="en-ZA"/>
        </w:rPr>
        <w:t>0,000,000.00 notes effective 12</w:t>
      </w:r>
      <w:r w:rsidRPr="00ED0341">
        <w:rPr>
          <w:rFonts w:asciiTheme="minorHAnsi" w:hAnsiTheme="minorHAnsi" w:cs="Arial"/>
          <w:b/>
          <w:vertAlign w:val="superscript"/>
          <w:lang w:val="en-ZA"/>
        </w:rPr>
        <w:t>th</w:t>
      </w:r>
      <w:r>
        <w:rPr>
          <w:rFonts w:asciiTheme="minorHAnsi" w:hAnsiTheme="minorHAnsi" w:cs="Arial"/>
          <w:b/>
          <w:lang w:val="en-ZA"/>
        </w:rPr>
        <w:t xml:space="preserve"> May 2020.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8858D7">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ASN354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D6EF4">
        <w:rPr>
          <w:rFonts w:asciiTheme="minorHAnsi" w:hAnsiTheme="minorHAnsi" w:cs="Arial"/>
          <w:b/>
          <w:bCs/>
          <w:highlight w:val="green"/>
          <w:lang w:val="en-ZA"/>
        </w:rPr>
        <w:t>Nominal Issued</w:t>
      </w:r>
      <w:r w:rsidR="001B111B" w:rsidRPr="00ED6EF4">
        <w:rPr>
          <w:rFonts w:asciiTheme="minorHAnsi" w:hAnsiTheme="minorHAnsi" w:cs="Arial"/>
          <w:highlight w:val="green"/>
          <w:lang w:val="en-ZA"/>
        </w:rPr>
        <w:tab/>
      </w:r>
      <w:r w:rsidRPr="00ED6EF4">
        <w:rPr>
          <w:rFonts w:asciiTheme="minorHAnsi" w:hAnsiTheme="minorHAnsi" w:cs="Arial"/>
          <w:highlight w:val="green"/>
          <w:lang w:val="en-ZA"/>
        </w:rPr>
        <w:t>R</w:t>
      </w:r>
      <w:r w:rsidR="008858D7" w:rsidRPr="00ED6EF4">
        <w:rPr>
          <w:rFonts w:asciiTheme="minorHAnsi" w:hAnsiTheme="minorHAnsi" w:cs="Arial"/>
          <w:highlight w:val="green"/>
          <w:lang w:val="en-ZA"/>
        </w:rPr>
        <w:t xml:space="preserve"> </w:t>
      </w:r>
      <w:r w:rsidR="00ED6EF4" w:rsidRPr="00ED6EF4">
        <w:rPr>
          <w:rFonts w:asciiTheme="minorHAnsi" w:hAnsiTheme="minorHAnsi" w:cs="Arial"/>
          <w:highlight w:val="green"/>
          <w:lang w:val="en-ZA"/>
        </w:rPr>
        <w:t>6</w:t>
      </w:r>
      <w:r w:rsidRPr="00ED6EF4">
        <w:rPr>
          <w:rFonts w:asciiTheme="minorHAnsi" w:hAnsiTheme="minorHAnsi" w:cs="Arial"/>
          <w:highlight w:val="green"/>
          <w:lang w:val="en-ZA"/>
        </w:rPr>
        <w:t>0,000,000.00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677978">
        <w:rPr>
          <w:rFonts w:asciiTheme="minorHAnsi" w:hAnsiTheme="minorHAnsi" w:cs="Arial"/>
          <w:lang w:val="en-ZA"/>
        </w:rPr>
        <w:t>8.775</w:t>
      </w:r>
      <w:r>
        <w:rPr>
          <w:rFonts w:asciiTheme="minorHAnsi" w:hAnsiTheme="minorHAnsi" w:cs="Arial"/>
          <w:lang w:val="en-ZA"/>
        </w:rPr>
        <w:t xml:space="preserve">% (3 Month JIBAR as at </w:t>
      </w:r>
      <w:r w:rsidR="008858D7">
        <w:rPr>
          <w:rFonts w:asciiTheme="minorHAnsi" w:hAnsiTheme="minorHAnsi" w:cs="Arial"/>
          <w:lang w:val="en-ZA"/>
        </w:rPr>
        <w:t>22 July 2019</w:t>
      </w:r>
      <w:r>
        <w:rPr>
          <w:rFonts w:asciiTheme="minorHAnsi" w:hAnsiTheme="minorHAnsi" w:cs="Arial"/>
          <w:lang w:val="en-ZA"/>
        </w:rPr>
        <w:t xml:space="preserve"> of </w:t>
      </w:r>
      <w:r w:rsidR="00677978">
        <w:rPr>
          <w:rFonts w:asciiTheme="minorHAnsi" w:hAnsiTheme="minorHAnsi" w:cs="Arial"/>
          <w:lang w:val="en-ZA"/>
        </w:rPr>
        <w:t>6.875</w:t>
      </w:r>
      <w:r>
        <w:rPr>
          <w:rFonts w:asciiTheme="minorHAnsi" w:hAnsiTheme="minorHAnsi" w:cs="Arial"/>
          <w:lang w:val="en-ZA"/>
        </w:rPr>
        <w:t xml:space="preserve">% plus </w:t>
      </w:r>
      <w:r w:rsidR="008858D7">
        <w:rPr>
          <w:rFonts w:asciiTheme="minorHAnsi" w:hAnsiTheme="minorHAnsi" w:cs="Arial"/>
          <w:lang w:val="en-ZA"/>
        </w:rPr>
        <w:t>190</w:t>
      </w:r>
      <w:r>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8858D7">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sidR="00C675C7" w:rsidRPr="00ED6EF4">
        <w:rPr>
          <w:rFonts w:asciiTheme="minorHAnsi" w:hAnsiTheme="minorHAnsi" w:cs="Arial"/>
          <w:highlight w:val="green"/>
          <w:lang w:val="en-ZA"/>
        </w:rPr>
        <w:t>12 May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22 July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ZAG000161118</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w:t>
      </w:r>
    </w:p>
    <w:p w:rsidR="008858D7" w:rsidRDefault="008858D7" w:rsidP="007F4679">
      <w:pPr>
        <w:spacing w:line="288" w:lineRule="auto"/>
        <w:ind w:left="3544" w:right="29" w:hanging="3544"/>
        <w:jc w:val="both"/>
        <w:rPr>
          <w:rFonts w:asciiTheme="minorHAnsi" w:hAnsiTheme="minorHAnsi"/>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8858D7" w:rsidRDefault="008858D7" w:rsidP="007F4679">
      <w:pPr>
        <w:pStyle w:val="BodyText"/>
        <w:spacing w:before="20" w:after="20" w:line="312" w:lineRule="auto"/>
        <w:rPr>
          <w:rFonts w:asciiTheme="minorHAnsi" w:hAnsiTheme="minorHAnsi" w:cs="Arial"/>
          <w:lang w:val="en-ZA"/>
        </w:rPr>
      </w:pPr>
    </w:p>
    <w:p w:rsidR="008858D7" w:rsidRPr="008858D7" w:rsidRDefault="008858D7" w:rsidP="008858D7">
      <w:pPr>
        <w:pStyle w:val="BodyText"/>
        <w:spacing w:before="20" w:after="20" w:line="312" w:lineRule="auto"/>
        <w:rPr>
          <w:rFonts w:asciiTheme="minorHAnsi" w:hAnsiTheme="minorHAnsi" w:cs="Arial"/>
          <w:lang w:val="en-ZA"/>
        </w:rPr>
      </w:pPr>
      <w:r w:rsidRPr="008858D7">
        <w:rPr>
          <w:rFonts w:asciiTheme="minorHAnsi" w:hAnsiTheme="minorHAnsi" w:cs="Arial"/>
          <w:lang w:val="en-ZA"/>
        </w:rPr>
        <w:t>Thapelo Magolego</w:t>
      </w:r>
      <w:r w:rsidRPr="008858D7">
        <w:rPr>
          <w:rFonts w:asciiTheme="minorHAnsi" w:hAnsiTheme="minorHAnsi" w:cs="Arial"/>
          <w:lang w:val="en-ZA"/>
        </w:rPr>
        <w:tab/>
      </w:r>
      <w:r w:rsidRPr="008858D7">
        <w:rPr>
          <w:rFonts w:asciiTheme="minorHAnsi" w:hAnsiTheme="minorHAnsi" w:cs="Arial"/>
          <w:lang w:val="en-ZA"/>
        </w:rPr>
        <w:tab/>
        <w:t xml:space="preserve">          Absa Corporate &amp; Investment Banking Limited                 +27 11 895 7352</w:t>
      </w:r>
    </w:p>
    <w:p w:rsidR="007F4679" w:rsidRPr="00F64748" w:rsidRDefault="008858D7" w:rsidP="008858D7">
      <w:pPr>
        <w:pStyle w:val="BodyText"/>
        <w:spacing w:before="20" w:after="20" w:line="312" w:lineRule="auto"/>
        <w:rPr>
          <w:rFonts w:asciiTheme="minorHAnsi" w:hAnsiTheme="minorHAnsi" w:cs="Arial"/>
          <w:lang w:val="en-ZA"/>
        </w:rPr>
      </w:pPr>
      <w:r w:rsidRPr="008858D7">
        <w:rPr>
          <w:rFonts w:asciiTheme="minorHAnsi" w:hAnsiTheme="minorHAnsi" w:cs="Arial"/>
          <w:lang w:val="en-ZA"/>
        </w:rPr>
        <w:t>Corporate Actions</w:t>
      </w:r>
      <w:r w:rsidRPr="008858D7">
        <w:rPr>
          <w:rFonts w:asciiTheme="minorHAnsi" w:hAnsiTheme="minorHAnsi" w:cs="Arial"/>
          <w:lang w:val="en-ZA"/>
        </w:rPr>
        <w:tab/>
      </w:r>
      <w:r w:rsidRPr="008858D7">
        <w:rPr>
          <w:rFonts w:asciiTheme="minorHAnsi" w:hAnsiTheme="minorHAnsi" w:cs="Arial"/>
          <w:lang w:val="en-ZA"/>
        </w:rPr>
        <w:tab/>
        <w:t xml:space="preserve">          JSE</w:t>
      </w:r>
      <w:r w:rsidRPr="008858D7">
        <w:rPr>
          <w:rFonts w:asciiTheme="minorHAnsi" w:hAnsiTheme="minorHAnsi" w:cs="Arial"/>
          <w:lang w:val="en-ZA"/>
        </w:rPr>
        <w:tab/>
      </w:r>
      <w:r w:rsidRPr="008858D7">
        <w:rPr>
          <w:rFonts w:asciiTheme="minorHAnsi" w:hAnsiTheme="minorHAnsi" w:cs="Arial"/>
          <w:lang w:val="en-ZA"/>
        </w:rPr>
        <w:tab/>
      </w:r>
      <w:r w:rsidRPr="008858D7">
        <w:rPr>
          <w:rFonts w:asciiTheme="minorHAnsi" w:hAnsiTheme="minorHAnsi" w:cs="Arial"/>
          <w:lang w:val="en-ZA"/>
        </w:rPr>
        <w:tab/>
      </w:r>
      <w:r w:rsidRPr="008858D7">
        <w:rPr>
          <w:rFonts w:asciiTheme="minorHAnsi" w:hAnsiTheme="minorHAnsi" w:cs="Arial"/>
          <w:lang w:val="en-ZA"/>
        </w:rPr>
        <w:tab/>
      </w:r>
      <w:r w:rsidRPr="008858D7">
        <w:rPr>
          <w:rFonts w:asciiTheme="minorHAnsi" w:hAnsiTheme="minorHAnsi" w:cs="Arial"/>
          <w:lang w:val="en-ZA"/>
        </w:rPr>
        <w:tab/>
        <w:t xml:space="preserve">      </w:t>
      </w:r>
      <w:r w:rsidRPr="008858D7">
        <w:rPr>
          <w:rFonts w:asciiTheme="minorHAnsi" w:hAnsiTheme="minorHAnsi" w:cs="Arial"/>
          <w:lang w:val="en-ZA"/>
        </w:rPr>
        <w:tab/>
        <w:t xml:space="preserve">               +27 11 520 7000</w:t>
      </w: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AB4A51">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AB4A51">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D6EF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D6EF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64A"/>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77978"/>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58D7"/>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A51"/>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675C7"/>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6EF4"/>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451A840"/>
  <w15:docId w15:val="{38F88BD7-00A2-49DE-A222-2E708B7C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2020-05-11T16:00:00+00:00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C8DC473F-5DC9-4E98-9004-95CE2234504D}">
  <ds:schemaRefs>
    <ds:schemaRef ds:uri="http://schemas.openxmlformats.org/officeDocument/2006/bibliography"/>
  </ds:schemaRefs>
</ds:datastoreItem>
</file>

<file path=customXml/itemProps2.xml><?xml version="1.0" encoding="utf-8"?>
<ds:datastoreItem xmlns:ds="http://schemas.openxmlformats.org/officeDocument/2006/customXml" ds:itemID="{04C86ECF-B874-4667-AEF5-5A910B8ACDE6}"/>
</file>

<file path=customXml/itemProps3.xml><?xml version="1.0" encoding="utf-8"?>
<ds:datastoreItem xmlns:ds="http://schemas.openxmlformats.org/officeDocument/2006/customXml" ds:itemID="{30FBB13A-4F78-402B-959C-FF22FEDE5F00}"/>
</file>

<file path=customXml/itemProps4.xml><?xml version="1.0" encoding="utf-8"?>
<ds:datastoreItem xmlns:ds="http://schemas.openxmlformats.org/officeDocument/2006/customXml" ds:itemID="{5677EDF7-D5C1-4BC0-9F83-F28206A5515A}"/>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45</cp:revision>
  <cp:lastPrinted>2012-01-03T09:35:00Z</cp:lastPrinted>
  <dcterms:created xsi:type="dcterms:W3CDTF">2012-03-13T10:41:00Z</dcterms:created>
  <dcterms:modified xsi:type="dcterms:W3CDTF">2020-05-08T12:40:00Z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177100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